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C8A34A"/>
          <w:spacing w:val="20"/>
          <w:sz w:val="18"/>
          <w:szCs w:val="18"/>
        </w:rPr>
        <w:t xml:space="preserve">GENERAL EDUCATION RENAISSANCE</w:t>
      </w:r>
    </w:p>
    <w:p>
      <w:pPr>
        <w:spacing w:after="200"/>
      </w:pPr>
      <w:r>
        <w:rPr>
          <w:b/>
          <w:bCs/>
          <w:color w:val="232323"/>
          <w:sz w:val="40"/>
          <w:szCs w:val="40"/>
        </w:rPr>
        <w:t xml:space="preserve">Student Activity: Define It Fast</w:t>
      </w:r>
    </w:p>
    <w:p>
      <w:pPr>
        <w:spacing w:after="140"/>
      </w:pPr>
      <w:r>
        <w:rPr>
          <w:color w:val="232323"/>
          <w:sz w:val="22"/>
          <w:szCs w:val="22"/>
        </w:rPr>
        <w:t xml:space="preserve">A classroom version of the faculty "Define It Together" activity, compressed to fit inside 15–20 minutes of class time. It covers the same six competencies — Critical Thinking, Adaptability &amp; Flexibility, Collaboration &amp; Teamwork, Verbal Communication, Curiosity, and Leadership &amp; Professionalism — but trades some of the discussion depth for speed.</w:t>
      </w:r>
    </w:p>
    <w:p>
      <w:pPr>
        <w:spacing w:after="140"/>
      </w:pPr>
      <w:r>
        <w:rPr>
          <w:color w:val="232323"/>
          <w:sz w:val="22"/>
          <w:szCs w:val="22"/>
        </w:rPr>
        <w:t xml:space="preserve">The biggest structural difference from the faculty version: there isn't time for a whole-room warm-up on Critical Thinking first. Instead, assign each table one of the six competencies before class starts, and every group works in parallel from minute one.</w:t>
      </w:r>
    </w:p>
    <w:p>
      <w:pPr>
        <w:pStyle w:val="Heading1"/>
        <w:pBdr>
          <w:bottom w:val="single" w:color="C8A34A" w:sz="6" w:space="4"/>
        </w:pBdr>
        <w:spacing w:after="140" w:before="280"/>
      </w:pPr>
      <w:r>
        <w:rPr>
          <w:b/>
          <w:bCs/>
          <w:color w:val="232323"/>
          <w:sz w:val="30"/>
          <w:szCs w:val="30"/>
        </w:rPr>
        <w:t xml:space="preserve">Overview</w:t>
      </w: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1500"/>
        <w:gridCol w:w="6000"/>
        <w:gridCol w:w="2300"/>
      </w:tblGrid>
      <w:tr>
        <w:tc>
          <w:tcPr>
            <w:tcW w:type="dxa" w:w="1500"/>
            <w:shd w:fill="4C5A4D" w:val="clear"/>
            <w:tcMar>
              <w:top w:type="dxa" w:w="100"/>
              <w:left w:type="dxa" w:w="120"/>
              <w:bottom w:type="dxa" w:w="100"/>
              <w:right w:type="dxa" w:w="120"/>
            </w:tcMar>
          </w:tcPr>
          <w:p>
            <w:r>
              <w:rPr>
                <w:b/>
                <w:bCs/>
                <w:color w:val="FFFFFF"/>
                <w:sz w:val="20"/>
                <w:szCs w:val="20"/>
              </w:rPr>
              <w:t xml:space="preserve">Minute</w:t>
            </w:r>
          </w:p>
        </w:tc>
        <w:tc>
          <w:tcPr>
            <w:tcW w:type="dxa" w:w="6000"/>
            <w:shd w:fill="4C5A4D" w:val="clear"/>
            <w:tcMar>
              <w:top w:type="dxa" w:w="100"/>
              <w:left w:type="dxa" w:w="120"/>
              <w:bottom w:type="dxa" w:w="100"/>
              <w:right w:type="dxa" w:w="120"/>
            </w:tcMar>
          </w:tcPr>
          <w:p>
            <w:r>
              <w:rPr>
                <w:b/>
                <w:bCs/>
                <w:color w:val="FFFFFF"/>
                <w:sz w:val="20"/>
                <w:szCs w:val="20"/>
              </w:rPr>
              <w:t xml:space="preserve">What happens</w:t>
            </w:r>
          </w:p>
        </w:tc>
        <w:tc>
          <w:tcPr>
            <w:tcW w:type="dxa" w:w="2300"/>
            <w:shd w:fill="4C5A4D" w:val="clear"/>
            <w:tcMar>
              <w:top w:type="dxa" w:w="100"/>
              <w:left w:type="dxa" w:w="120"/>
              <w:bottom w:type="dxa" w:w="100"/>
              <w:right w:type="dxa" w:w="120"/>
            </w:tcMar>
          </w:tcPr>
          <w:p>
            <w:r>
              <w:rPr>
                <w:b/>
                <w:bCs/>
                <w:color w:val="FFFFFF"/>
                <w:sz w:val="20"/>
                <w:szCs w:val="20"/>
              </w:rPr>
              <w:t xml:space="preserve">Length</w:t>
            </w:r>
          </w:p>
        </w:tc>
      </w:tr>
      <w:tr>
        <w:tc>
          <w:tcPr>
            <w:tcW w:type="dxa" w:w="1500"/>
            <w:shd w:fill="F6F2EA" w:val="clear"/>
            <w:tcMar>
              <w:top w:type="dxa" w:w="100"/>
              <w:left w:type="dxa" w:w="120"/>
              <w:bottom w:type="dxa" w:w="100"/>
              <w:right w:type="dxa" w:w="120"/>
            </w:tcMar>
          </w:tcPr>
          <w:p>
            <w:r>
              <w:rPr>
                <w:color w:val="232323"/>
                <w:sz w:val="20"/>
                <w:szCs w:val="20"/>
              </w:rPr>
              <w:t xml:space="preserve">0–2</w:t>
            </w:r>
          </w:p>
        </w:tc>
        <w:tc>
          <w:tcPr>
            <w:tcW w:type="dxa" w:w="6000"/>
            <w:shd w:fill="F6F2EA" w:val="clear"/>
            <w:tcMar>
              <w:top w:type="dxa" w:w="100"/>
              <w:left w:type="dxa" w:w="120"/>
              <w:bottom w:type="dxa" w:w="100"/>
              <w:right w:type="dxa" w:w="120"/>
            </w:tcMar>
          </w:tcPr>
          <w:p>
            <w:r>
              <w:rPr>
                <w:color w:val="232323"/>
                <w:sz w:val="20"/>
                <w:szCs w:val="20"/>
              </w:rPr>
              <w:t xml:space="preserve">Setup and one live example</w:t>
            </w:r>
          </w:p>
        </w:tc>
        <w:tc>
          <w:tcPr>
            <w:tcW w:type="dxa" w:w="2300"/>
            <w:shd w:fill="F6F2EA" w:val="clear"/>
            <w:tcMar>
              <w:top w:type="dxa" w:w="100"/>
              <w:left w:type="dxa" w:w="120"/>
              <w:bottom w:type="dxa" w:w="100"/>
              <w:right w:type="dxa" w:w="120"/>
            </w:tcMar>
          </w:tcPr>
          <w:p>
            <w:r>
              <w:rPr>
                <w:color w:val="232323"/>
                <w:sz w:val="20"/>
                <w:szCs w:val="20"/>
              </w:rPr>
              <w:t xml:space="preserve">2 min</w:t>
            </w:r>
          </w:p>
        </w:tc>
      </w:tr>
      <w:tr>
        <w:tc>
          <w:tcPr>
            <w:tcW w:type="dxa" w:w="1500"/>
            <w:shd w:fill="F6F2EA" w:val="clear"/>
            <w:tcMar>
              <w:top w:type="dxa" w:w="100"/>
              <w:left w:type="dxa" w:w="120"/>
              <w:bottom w:type="dxa" w:w="100"/>
              <w:right w:type="dxa" w:w="120"/>
            </w:tcMar>
          </w:tcPr>
          <w:p>
            <w:r>
              <w:rPr>
                <w:color w:val="232323"/>
                <w:sz w:val="20"/>
                <w:szCs w:val="20"/>
              </w:rPr>
              <w:t xml:space="preserve">2–7</w:t>
            </w:r>
          </w:p>
        </w:tc>
        <w:tc>
          <w:tcPr>
            <w:tcW w:type="dxa" w:w="6000"/>
            <w:shd w:fill="F6F2EA" w:val="clear"/>
            <w:tcMar>
              <w:top w:type="dxa" w:w="100"/>
              <w:left w:type="dxa" w:w="120"/>
              <w:bottom w:type="dxa" w:w="100"/>
              <w:right w:type="dxa" w:w="120"/>
            </w:tcMar>
          </w:tcPr>
          <w:p>
            <w:r>
              <w:rPr>
                <w:color w:val="232323"/>
                <w:sz w:val="20"/>
                <w:szCs w:val="20"/>
              </w:rPr>
              <w:t xml:space="preserve">Write, together — IS / IS NOT for assigned skill</w:t>
            </w:r>
          </w:p>
        </w:tc>
        <w:tc>
          <w:tcPr>
            <w:tcW w:type="dxa" w:w="2300"/>
            <w:shd w:fill="F6F2EA" w:val="clear"/>
            <w:tcMar>
              <w:top w:type="dxa" w:w="100"/>
              <w:left w:type="dxa" w:w="120"/>
              <w:bottom w:type="dxa" w:w="100"/>
              <w:right w:type="dxa" w:w="120"/>
            </w:tcMar>
          </w:tcPr>
          <w:p>
            <w:r>
              <w:rPr>
                <w:color w:val="232323"/>
                <w:sz w:val="20"/>
                <w:szCs w:val="20"/>
              </w:rPr>
              <w:t xml:space="preserve">5 min</w:t>
            </w:r>
          </w:p>
        </w:tc>
      </w:tr>
      <w:tr>
        <w:tc>
          <w:tcPr>
            <w:tcW w:type="dxa" w:w="1500"/>
            <w:shd w:fill="F6F2EA" w:val="clear"/>
            <w:tcMar>
              <w:top w:type="dxa" w:w="100"/>
              <w:left w:type="dxa" w:w="120"/>
              <w:bottom w:type="dxa" w:w="100"/>
              <w:right w:type="dxa" w:w="120"/>
            </w:tcMar>
          </w:tcPr>
          <w:p>
            <w:r>
              <w:rPr>
                <w:color w:val="232323"/>
                <w:sz w:val="20"/>
                <w:szCs w:val="20"/>
              </w:rPr>
              <w:t xml:space="preserve">7–8</w:t>
            </w:r>
          </w:p>
        </w:tc>
        <w:tc>
          <w:tcPr>
            <w:tcW w:type="dxa" w:w="6000"/>
            <w:shd w:fill="F6F2EA" w:val="clear"/>
            <w:tcMar>
              <w:top w:type="dxa" w:w="100"/>
              <w:left w:type="dxa" w:w="120"/>
              <w:bottom w:type="dxa" w:w="100"/>
              <w:right w:type="dxa" w:w="120"/>
            </w:tcMar>
          </w:tcPr>
          <w:p>
            <w:r>
              <w:rPr>
                <w:color w:val="232323"/>
                <w:sz w:val="20"/>
                <w:szCs w:val="20"/>
              </w:rPr>
              <w:t xml:space="preserve">One swap with a neighboring table</w:t>
            </w:r>
          </w:p>
        </w:tc>
        <w:tc>
          <w:tcPr>
            <w:tcW w:type="dxa" w:w="2300"/>
            <w:shd w:fill="F6F2EA" w:val="clear"/>
            <w:tcMar>
              <w:top w:type="dxa" w:w="100"/>
              <w:left w:type="dxa" w:w="120"/>
              <w:bottom w:type="dxa" w:w="100"/>
              <w:right w:type="dxa" w:w="120"/>
            </w:tcMar>
          </w:tcPr>
          <w:p>
            <w:r>
              <w:rPr>
                <w:color w:val="232323"/>
                <w:sz w:val="20"/>
                <w:szCs w:val="20"/>
              </w:rPr>
              <w:t xml:space="preserve">1 min</w:t>
            </w:r>
          </w:p>
        </w:tc>
      </w:tr>
      <w:tr>
        <w:tc>
          <w:tcPr>
            <w:tcW w:type="dxa" w:w="1500"/>
            <w:shd w:fill="F6F2EA" w:val="clear"/>
            <w:tcMar>
              <w:top w:type="dxa" w:w="100"/>
              <w:left w:type="dxa" w:w="120"/>
              <w:bottom w:type="dxa" w:w="100"/>
              <w:right w:type="dxa" w:w="120"/>
            </w:tcMar>
          </w:tcPr>
          <w:p>
            <w:r>
              <w:rPr>
                <w:color w:val="232323"/>
                <w:sz w:val="20"/>
                <w:szCs w:val="20"/>
              </w:rPr>
              <w:t xml:space="preserve">8–13</w:t>
            </w:r>
          </w:p>
        </w:tc>
        <w:tc>
          <w:tcPr>
            <w:tcW w:type="dxa" w:w="6000"/>
            <w:shd w:fill="F6F2EA" w:val="clear"/>
            <w:tcMar>
              <w:top w:type="dxa" w:w="100"/>
              <w:left w:type="dxa" w:w="120"/>
              <w:bottom w:type="dxa" w:w="100"/>
              <w:right w:type="dxa" w:w="120"/>
            </w:tcMar>
          </w:tcPr>
          <w:p>
            <w:r>
              <w:rPr>
                <w:color w:val="232323"/>
                <w:sz w:val="20"/>
                <w:szCs w:val="20"/>
              </w:rPr>
              <w:t xml:space="preserve">Synthesize inherited words into one sentence</w:t>
            </w:r>
          </w:p>
        </w:tc>
        <w:tc>
          <w:tcPr>
            <w:tcW w:type="dxa" w:w="2300"/>
            <w:shd w:fill="F6F2EA" w:val="clear"/>
            <w:tcMar>
              <w:top w:type="dxa" w:w="100"/>
              <w:left w:type="dxa" w:w="120"/>
              <w:bottom w:type="dxa" w:w="100"/>
              <w:right w:type="dxa" w:w="120"/>
            </w:tcMar>
          </w:tcPr>
          <w:p>
            <w:r>
              <w:rPr>
                <w:color w:val="232323"/>
                <w:sz w:val="20"/>
                <w:szCs w:val="20"/>
              </w:rPr>
              <w:t xml:space="preserve">5 min</w:t>
            </w:r>
          </w:p>
        </w:tc>
      </w:tr>
      <w:tr>
        <w:tc>
          <w:tcPr>
            <w:tcW w:type="dxa" w:w="1500"/>
            <w:shd w:fill="F6F2EA" w:val="clear"/>
            <w:tcMar>
              <w:top w:type="dxa" w:w="100"/>
              <w:left w:type="dxa" w:w="120"/>
              <w:bottom w:type="dxa" w:w="100"/>
              <w:right w:type="dxa" w:w="120"/>
            </w:tcMar>
          </w:tcPr>
          <w:p>
            <w:r>
              <w:rPr>
                <w:color w:val="232323"/>
                <w:sz w:val="20"/>
                <w:szCs w:val="20"/>
              </w:rPr>
              <w:t xml:space="preserve">13–15</w:t>
            </w:r>
          </w:p>
        </w:tc>
        <w:tc>
          <w:tcPr>
            <w:tcW w:type="dxa" w:w="6000"/>
            <w:shd w:fill="F6F2EA" w:val="clear"/>
            <w:tcMar>
              <w:top w:type="dxa" w:w="100"/>
              <w:left w:type="dxa" w:w="120"/>
              <w:bottom w:type="dxa" w:w="100"/>
              <w:right w:type="dxa" w:w="120"/>
            </w:tcMar>
          </w:tcPr>
          <w:p>
            <w:r>
              <w:rPr>
                <w:color w:val="232323"/>
                <w:sz w:val="20"/>
                <w:szCs w:val="20"/>
              </w:rPr>
              <w:t xml:space="preserve">Partial report-out (2–3 tables, on the spot)</w:t>
            </w:r>
          </w:p>
        </w:tc>
        <w:tc>
          <w:tcPr>
            <w:tcW w:type="dxa" w:w="2300"/>
            <w:shd w:fill="F6F2EA" w:val="clear"/>
            <w:tcMar>
              <w:top w:type="dxa" w:w="100"/>
              <w:left w:type="dxa" w:w="120"/>
              <w:bottom w:type="dxa" w:w="100"/>
              <w:right w:type="dxa" w:w="120"/>
            </w:tcMar>
          </w:tcPr>
          <w:p>
            <w:r>
              <w:rPr>
                <w:color w:val="232323"/>
                <w:sz w:val="20"/>
                <w:szCs w:val="20"/>
              </w:rPr>
              <w:t xml:space="preserve">2 min</w:t>
            </w:r>
          </w:p>
        </w:tc>
      </w:tr>
      <w:tr>
        <w:tc>
          <w:tcPr>
            <w:tcW w:type="dxa" w:w="1500"/>
            <w:shd w:fill="F6F2EA" w:val="clear"/>
            <w:tcMar>
              <w:top w:type="dxa" w:w="100"/>
              <w:left w:type="dxa" w:w="120"/>
              <w:bottom w:type="dxa" w:w="100"/>
              <w:right w:type="dxa" w:w="120"/>
            </w:tcMar>
          </w:tcPr>
          <w:p>
            <w:r>
              <w:rPr>
                <w:color w:val="232323"/>
                <w:sz w:val="20"/>
                <w:szCs w:val="20"/>
              </w:rPr>
              <w:t xml:space="preserve"/>
            </w:r>
          </w:p>
        </w:tc>
        <w:tc>
          <w:tcPr>
            <w:tcW w:type="dxa" w:w="6000"/>
            <w:shd w:fill="F6F2EA" w:val="clear"/>
            <w:tcMar>
              <w:top w:type="dxa" w:w="100"/>
              <w:left w:type="dxa" w:w="120"/>
              <w:bottom w:type="dxa" w:w="100"/>
              <w:right w:type="dxa" w:w="120"/>
            </w:tcMar>
          </w:tcPr>
          <w:p>
            <w:r>
              <w:rPr>
                <w:color w:val="232323"/>
                <w:sz w:val="20"/>
                <w:szCs w:val="20"/>
              </w:rPr>
              <w:t xml:space="preserve">Total in-class time</w:t>
            </w:r>
          </w:p>
        </w:tc>
        <w:tc>
          <w:tcPr>
            <w:tcW w:type="dxa" w:w="2300"/>
            <w:shd w:fill="F6F2EA" w:val="clear"/>
            <w:tcMar>
              <w:top w:type="dxa" w:w="100"/>
              <w:left w:type="dxa" w:w="120"/>
              <w:bottom w:type="dxa" w:w="100"/>
              <w:right w:type="dxa" w:w="120"/>
            </w:tcMar>
          </w:tcPr>
          <w:p>
            <w:r>
              <w:rPr>
                <w:color w:val="232323"/>
                <w:sz w:val="20"/>
                <w:szCs w:val="20"/>
              </w:rPr>
              <w:t xml:space="preserve">~15 min</w:t>
            </w:r>
          </w:p>
        </w:tc>
      </w:tr>
    </w:tbl>
    <w:p>
      <w:pPr>
        <w:pStyle w:val="Heading1"/>
        <w:pBdr>
          <w:bottom w:val="single" w:color="C8A34A" w:sz="6" w:space="4"/>
        </w:pBdr>
        <w:spacing w:after="140" w:before="280"/>
      </w:pPr>
      <w:r>
        <w:rPr>
          <w:b/>
          <w:bCs/>
          <w:color w:val="232323"/>
          <w:sz w:val="30"/>
          <w:szCs w:val="30"/>
        </w:rPr>
        <w:t xml:space="preserve">Before Class</w:t>
      </w:r>
    </w:p>
    <w:p>
      <w:pPr>
        <w:spacing w:after="80" w:before="220"/>
      </w:pPr>
      <w:r>
        <w:rPr>
          <w:b/>
          <w:bCs/>
          <w:color w:val="4C5A4D"/>
          <w:sz w:val="24"/>
          <w:szCs w:val="24"/>
        </w:rPr>
        <w:t xml:space="preserve">Assign competencies ahead of time</w:t>
      </w:r>
    </w:p>
    <w:p>
      <w:pPr>
        <w:spacing w:after="140"/>
      </w:pPr>
      <w:r>
        <w:rPr>
          <w:color w:val="232323"/>
          <w:sz w:val="22"/>
          <w:szCs w:val="22"/>
        </w:rPr>
        <w:t xml:space="preserve">Pre-assign one competency per table so no time is lost deciding who does what. In a small class, double up — two tables can work the same competency, or one table can cover two. In a large class, it's fine to have multiple tables per competency; more voices on the same word set is not a problem.</w:t>
      </w:r>
    </w:p>
    <w:p>
      <w:pPr>
        <w:pStyle w:val="Heading1"/>
        <w:pBdr>
          <w:bottom w:val="single" w:color="C8A34A" w:sz="6" w:space="4"/>
        </w:pBdr>
        <w:spacing w:after="140" w:before="280"/>
      </w:pPr>
      <w:r>
        <w:rPr>
          <w:b/>
          <w:bCs/>
          <w:color w:val="232323"/>
          <w:sz w:val="30"/>
          <w:szCs w:val="30"/>
        </w:rPr>
        <w:t xml:space="preserve">Minute 0–2 · Setup and One Live Example</w:t>
      </w:r>
    </w:p>
    <w:p>
      <w:pPr>
        <w:spacing w:after="140"/>
      </w:pPr>
      <w:r>
        <w:rPr>
          <w:color w:val="232323"/>
          <w:sz w:val="22"/>
          <w:szCs w:val="22"/>
        </w:rPr>
        <w:t xml:space="preserve">Give students the format fast: IS and IS NOT are the only two columns. Show one example pair out loud (30 seconds) so nobody is confused about what belongs where, then assign competencies and start the clock.</w:t>
      </w:r>
    </w:p>
    <w:p>
      <w:pPr>
        <w:spacing w:after="80" w:before="220"/>
      </w:pPr>
      <w:r>
        <w:rPr>
          <w:b/>
          <w:bCs/>
          <w:color w:val="4C5A4D"/>
          <w:sz w:val="24"/>
          <w:szCs w:val="24"/>
        </w:rPr>
        <w:t xml:space="preserve">How to lead it</w:t>
      </w:r>
    </w:p>
    <w:p>
      <w:pPr>
        <w:pStyle w:val="ListParagraph"/>
        <w:numPr>
          <w:ilvl w:val="0"/>
          <w:numId w:val="2"/>
        </w:numPr>
        <w:spacing w:after="70"/>
      </w:pPr>
      <w:r>
        <w:rPr>
          <w:color w:val="232323"/>
          <w:sz w:val="22"/>
          <w:szCs w:val="22"/>
        </w:rPr>
        <w:t xml:space="preserve">Use a throwaway example unrelated to the six competencies (e.g. "pizza") so you don't accidentally bias what students write for their real skill.</w:t>
      </w:r>
    </w:p>
    <w:p>
      <w:pPr>
        <w:pStyle w:val="ListParagraph"/>
        <w:numPr>
          <w:ilvl w:val="0"/>
          <w:numId w:val="2"/>
        </w:numPr>
        <w:spacing w:after="70"/>
      </w:pPr>
      <w:r>
        <w:rPr>
          <w:color w:val="232323"/>
          <w:sz w:val="22"/>
          <w:szCs w:val="22"/>
        </w:rPr>
        <w:t xml:space="preserve">State the total time out loud — "you have 15 minutes, here's what happens" — so students pace themselves.</w:t>
      </w:r>
    </w:p>
    <w:p>
      <w:pPr>
        <w:pStyle w:val="ListParagraph"/>
        <w:numPr>
          <w:ilvl w:val="0"/>
          <w:numId w:val="2"/>
        </w:numPr>
        <w:spacing w:after="70"/>
      </w:pPr>
      <w:r>
        <w:rPr>
          <w:color w:val="232323"/>
          <w:sz w:val="22"/>
          <w:szCs w:val="22"/>
        </w:rPr>
        <w:t xml:space="preserve">Assign competencies quickly; don't open it up for debate about who gets what.</w:t>
      </w:r>
    </w:p>
    <w:p>
      <w:pPr>
        <w:pStyle w:val="Heading1"/>
        <w:pBdr>
          <w:bottom w:val="single" w:color="C8A34A" w:sz="6" w:space="4"/>
        </w:pBdr>
        <w:spacing w:after="140" w:before="280"/>
      </w:pPr>
      <w:r>
        <w:rPr>
          <w:b/>
          <w:bCs/>
          <w:color w:val="232323"/>
          <w:sz w:val="30"/>
          <w:szCs w:val="30"/>
        </w:rPr>
        <w:t xml:space="preserve">Minute 2–7 · Write, Together</w:t>
      </w:r>
    </w:p>
    <w:p>
      <w:pPr>
        <w:spacing w:after="140"/>
      </w:pPr>
      <w:r>
        <w:rPr>
          <w:color w:val="232323"/>
          <w:sz w:val="22"/>
          <w:szCs w:val="22"/>
        </w:rPr>
        <w:t xml:space="preserve">Each table fills an IS / IS NOT list for its assigned competency as fast as it can. Unlike the faculty version, there isn't time to have students write individually before combining — go straight to talking and writing at the same time.</w:t>
      </w:r>
    </w:p>
    <w:p>
      <w:pPr>
        <w:spacing w:after="80" w:before="220"/>
      </w:pPr>
      <w:r>
        <w:rPr>
          <w:b/>
          <w:bCs/>
          <w:color w:val="4C5A4D"/>
          <w:sz w:val="24"/>
          <w:szCs w:val="24"/>
        </w:rPr>
        <w:t xml:space="preserve">How to lead it</w:t>
      </w:r>
    </w:p>
    <w:p>
      <w:pPr>
        <w:pStyle w:val="ListParagraph"/>
        <w:numPr>
          <w:ilvl w:val="0"/>
          <w:numId w:val="2"/>
        </w:numPr>
        <w:spacing w:after="70"/>
      </w:pPr>
      <w:r>
        <w:rPr>
          <w:color w:val="232323"/>
          <w:sz w:val="22"/>
          <w:szCs w:val="22"/>
        </w:rPr>
        <w:t xml:space="preserve">Announce the halfway point at minute 4–5 so tables that are stalled know to speed up.</w:t>
      </w:r>
    </w:p>
    <w:p>
      <w:pPr>
        <w:pStyle w:val="ListParagraph"/>
        <w:numPr>
          <w:ilvl w:val="0"/>
          <w:numId w:val="2"/>
        </w:numPr>
        <w:spacing w:after="70"/>
      </w:pPr>
      <w:r>
        <w:rPr>
          <w:color w:val="232323"/>
          <w:sz w:val="22"/>
          <w:szCs w:val="22"/>
        </w:rPr>
        <w:t xml:space="preserve">Circulate and prompt stuck tables with a single word to get them moving, rather than explaining the concept again.</w:t>
      </w:r>
    </w:p>
    <w:p>
      <w:pPr>
        <w:pStyle w:val="ListParagraph"/>
        <w:numPr>
          <w:ilvl w:val="0"/>
          <w:numId w:val="2"/>
        </w:numPr>
        <w:spacing w:after="70"/>
      </w:pPr>
      <w:r>
        <w:rPr>
          <w:color w:val="232323"/>
          <w:sz w:val="22"/>
          <w:szCs w:val="22"/>
        </w:rPr>
        <w:t xml:space="preserve">It's fine if lists are messy or incomplete — quantity of raw words matters more than polish at this stage.</w:t>
      </w:r>
    </w:p>
    <w:p>
      <w:pPr>
        <w:pStyle w:val="Heading1"/>
        <w:pBdr>
          <w:bottom w:val="single" w:color="C8A34A" w:sz="6" w:space="4"/>
        </w:pBdr>
        <w:spacing w:after="140" w:before="280"/>
      </w:pPr>
      <w:r>
        <w:rPr>
          <w:b/>
          <w:bCs/>
          <w:color w:val="232323"/>
          <w:sz w:val="30"/>
          <w:szCs w:val="30"/>
        </w:rPr>
        <w:t xml:space="preserve">Minute 7–8 · One Swap</w:t>
      </w:r>
    </w:p>
    <w:p>
      <w:pPr>
        <w:spacing w:after="140"/>
      </w:pPr>
      <w:r>
        <w:rPr>
          <w:color w:val="232323"/>
          <w:sz w:val="22"/>
          <w:szCs w:val="22"/>
        </w:rPr>
        <w:t xml:space="preserve">A single rotation to the immediate neighboring table — not the full multi-table shuffle from the faculty version. Whatever a table wrote gets handed directly to the table next to it.</w:t>
      </w:r>
    </w:p>
    <w:p>
      <w:pPr>
        <w:spacing w:after="80" w:before="220"/>
      </w:pPr>
      <w:r>
        <w:rPr>
          <w:b/>
          <w:bCs/>
          <w:color w:val="4C5A4D"/>
          <w:sz w:val="24"/>
          <w:szCs w:val="24"/>
        </w:rPr>
        <w:t xml:space="preserve">How to lead it</w:t>
      </w:r>
    </w:p>
    <w:p>
      <w:pPr>
        <w:pStyle w:val="ListParagraph"/>
        <w:numPr>
          <w:ilvl w:val="0"/>
          <w:numId w:val="2"/>
        </w:numPr>
        <w:spacing w:after="70"/>
      </w:pPr>
      <w:r>
        <w:rPr>
          <w:color w:val="232323"/>
          <w:sz w:val="22"/>
          <w:szCs w:val="22"/>
        </w:rPr>
        <w:t xml:space="preserve">Call time firmly and give one instruction: "leave your words, move one table over."</w:t>
      </w:r>
    </w:p>
    <w:p>
      <w:pPr>
        <w:pStyle w:val="ListParagraph"/>
        <w:numPr>
          <w:ilvl w:val="0"/>
          <w:numId w:val="2"/>
        </w:numPr>
        <w:spacing w:after="70"/>
      </w:pPr>
      <w:r>
        <w:rPr>
          <w:color w:val="232323"/>
          <w:sz w:val="22"/>
          <w:szCs w:val="22"/>
        </w:rPr>
        <w:t xml:space="preserve">Don't let the outgoing table explain what they meant — the inheriting table works from the words alone, same principle as the faculty version, just compressed.</w:t>
      </w:r>
    </w:p>
    <w:p>
      <w:pPr>
        <w:pStyle w:val="Heading1"/>
        <w:pBdr>
          <w:bottom w:val="single" w:color="C8A34A" w:sz="6" w:space="4"/>
        </w:pBdr>
        <w:spacing w:after="140" w:before="280"/>
      </w:pPr>
      <w:r>
        <w:rPr>
          <w:b/>
          <w:bCs/>
          <w:color w:val="232323"/>
          <w:sz w:val="30"/>
          <w:szCs w:val="30"/>
        </w:rPr>
        <w:t xml:space="preserve">Minute 8–13 · Synthesize, Tight</w:t>
      </w:r>
    </w:p>
    <w:p>
      <w:pPr>
        <w:spacing w:after="140"/>
      </w:pPr>
      <w:r>
        <w:rPr>
          <w:color w:val="232323"/>
          <w:sz w:val="22"/>
          <w:szCs w:val="22"/>
        </w:rPr>
        <w:t xml:space="preserve">The inheriting table turns the words they received into one sentence — not one-or-two, like the faculty version. The tighter constraint forces speed and keeps the exercise from stalling out on wordsmithing.</w:t>
      </w:r>
    </w:p>
    <w:p>
      <w:pPr>
        <w:spacing w:after="80" w:before="220"/>
      </w:pPr>
      <w:r>
        <w:rPr>
          <w:b/>
          <w:bCs/>
          <w:color w:val="4C5A4D"/>
          <w:sz w:val="24"/>
          <w:szCs w:val="24"/>
        </w:rPr>
        <w:t xml:space="preserve">How to lead it</w:t>
      </w:r>
    </w:p>
    <w:p>
      <w:pPr>
        <w:pStyle w:val="ListParagraph"/>
        <w:numPr>
          <w:ilvl w:val="0"/>
          <w:numId w:val="2"/>
        </w:numPr>
        <w:spacing w:after="70"/>
      </w:pPr>
      <w:r>
        <w:rPr>
          <w:color w:val="232323"/>
          <w:sz w:val="22"/>
          <w:szCs w:val="22"/>
        </w:rPr>
        <w:t xml:space="preserve">Repeat the constraint out loud: "one sentence, use what's in front of you."</w:t>
      </w:r>
    </w:p>
    <w:p>
      <w:pPr>
        <w:pStyle w:val="ListParagraph"/>
        <w:numPr>
          <w:ilvl w:val="0"/>
          <w:numId w:val="2"/>
        </w:numPr>
        <w:spacing w:after="70"/>
      </w:pPr>
      <w:r>
        <w:rPr>
          <w:color w:val="232323"/>
          <w:sz w:val="22"/>
          <w:szCs w:val="22"/>
        </w:rPr>
        <w:t xml:space="preserve">Appoint a reader now, not at minute 13, so there's no scramble when report-out starts.</w:t>
      </w:r>
    </w:p>
    <w:p>
      <w:pPr>
        <w:pStyle w:val="ListParagraph"/>
        <w:numPr>
          <w:ilvl w:val="0"/>
          <w:numId w:val="2"/>
        </w:numPr>
        <w:spacing w:after="70"/>
      </w:pPr>
      <w:r>
        <w:rPr>
          <w:color w:val="232323"/>
          <w:sz w:val="22"/>
          <w:szCs w:val="22"/>
        </w:rPr>
        <w:t xml:space="preserve">Give a one-minute warning before time's up.</w:t>
      </w:r>
    </w:p>
    <w:p>
      <w:pPr>
        <w:pStyle w:val="Heading1"/>
        <w:pBdr>
          <w:bottom w:val="single" w:color="C8A34A" w:sz="6" w:space="4"/>
        </w:pBdr>
        <w:spacing w:after="140" w:before="280"/>
      </w:pPr>
      <w:r>
        <w:rPr>
          <w:b/>
          <w:bCs/>
          <w:color w:val="232323"/>
          <w:sz w:val="30"/>
          <w:szCs w:val="30"/>
        </w:rPr>
        <w:t xml:space="preserve">Minute 13–15 · Partial Report-Out</w:t>
      </w:r>
    </w:p>
    <w:p>
      <w:pPr>
        <w:spacing w:after="140"/>
      </w:pPr>
      <w:r>
        <w:rPr>
          <w:color w:val="232323"/>
          <w:sz w:val="22"/>
          <w:szCs w:val="22"/>
        </w:rPr>
        <w:t xml:space="preserve">Only two or three tables read theirs aloud, chosen on the spot rather than announced in advance — that keeps anyone from quietly drafting a polished "performance" version instead of working fast.</w:t>
      </w:r>
    </w:p>
    <w:p>
      <w:pPr>
        <w:spacing w:after="80" w:before="220"/>
      </w:pPr>
      <w:r>
        <w:rPr>
          <w:b/>
          <w:bCs/>
          <w:color w:val="4C5A4D"/>
          <w:sz w:val="24"/>
          <w:szCs w:val="24"/>
        </w:rPr>
        <w:t xml:space="preserve">How to lead it</w:t>
      </w:r>
    </w:p>
    <w:p>
      <w:pPr>
        <w:pStyle w:val="ListParagraph"/>
        <w:numPr>
          <w:ilvl w:val="0"/>
          <w:numId w:val="2"/>
        </w:numPr>
        <w:spacing w:after="70"/>
      </w:pPr>
      <w:r>
        <w:rPr>
          <w:color w:val="232323"/>
          <w:sz w:val="22"/>
          <w:szCs w:val="22"/>
        </w:rPr>
        <w:t xml:space="preserve">Pick tables at random (by table number, a die roll, whatever's fastest) so it's clearly not favoritism.</w:t>
      </w:r>
    </w:p>
    <w:p>
      <w:pPr>
        <w:pStyle w:val="ListParagraph"/>
        <w:numPr>
          <w:ilvl w:val="0"/>
          <w:numId w:val="2"/>
        </w:numPr>
        <w:spacing w:after="70"/>
      </w:pPr>
      <w:r>
        <w:rPr>
          <w:color w:val="232323"/>
          <w:sz w:val="22"/>
          <w:szCs w:val="22"/>
        </w:rPr>
        <w:t xml:space="preserve">Cap each read at 15–30 seconds. Don't open discussion yet — that's what the follow-up post is for.</w:t>
      </w:r>
    </w:p>
    <w:p>
      <w:pPr>
        <w:pStyle w:val="ListParagraph"/>
        <w:numPr>
          <w:ilvl w:val="0"/>
          <w:numId w:val="2"/>
        </w:numPr>
        <w:spacing w:after="70"/>
      </w:pPr>
      <w:r>
        <w:rPr>
          <w:color w:val="232323"/>
          <w:sz w:val="22"/>
          <w:szCs w:val="22"/>
        </w:rPr>
        <w:t xml:space="preserve">Close with one line naming what just happened: "you just did in fifteen minutes what shaped six competencies in a real SCAD-wide study."</w:t>
      </w:r>
    </w:p>
    <w:p>
      <w:pPr>
        <w:pStyle w:val="Heading1"/>
        <w:pBdr>
          <w:bottom w:val="single" w:color="C8A34A" w:sz="6" w:space="4"/>
        </w:pBdr>
        <w:spacing w:after="140" w:before="280"/>
      </w:pPr>
      <w:r>
        <w:rPr>
          <w:b/>
          <w:bCs/>
          <w:color w:val="232323"/>
          <w:sz w:val="30"/>
          <w:szCs w:val="30"/>
        </w:rPr>
        <w:t xml:space="preserve">The Follow-Up: Async Report-Out</w:t>
      </w:r>
    </w:p>
    <w:p>
      <w:pPr>
        <w:spacing w:after="140"/>
      </w:pPr>
      <w:r>
        <w:rPr>
          <w:color w:val="232323"/>
          <w:sz w:val="22"/>
          <w:szCs w:val="22"/>
        </w:rPr>
        <w:t xml:space="preserve">Class time can't cover every table's definition out loud, so the rest of the report-out happens as homework. Each table photographs or types up its sentence and posts it to that competency's channel on the General Education Renaissance site's Discussion page.</w:t>
      </w:r>
    </w:p>
    <w:p>
      <w:pPr>
        <w:spacing w:after="140"/>
      </w:pPr>
      <w:r>
        <w:rPr>
          <w:color w:val="232323"/>
          <w:sz w:val="22"/>
          <w:szCs w:val="22"/>
        </w:rPr>
        <w:t xml:space="preserve">This isn't just a workaround for time — it feeds the same data-collection loop as the faculty activity, so student voices become part of the same evidence base.</w:t>
      </w:r>
    </w:p>
    <w:p>
      <w:pPr>
        <w:pStyle w:val="Heading1"/>
        <w:pBdr>
          <w:bottom w:val="single" w:color="C8A34A" w:sz="6" w:space="4"/>
        </w:pBdr>
        <w:spacing w:after="140" w:before="280"/>
      </w:pPr>
      <w:r>
        <w:rPr>
          <w:b/>
          <w:bCs/>
          <w:color w:val="232323"/>
          <w:sz w:val="30"/>
          <w:szCs w:val="30"/>
        </w:rPr>
        <w:t xml:space="preserve">Notes for Instructors</w:t>
      </w:r>
    </w:p>
    <w:p>
      <w:pPr>
        <w:spacing w:after="80" w:before="220"/>
      </w:pPr>
      <w:r>
        <w:rPr>
          <w:b/>
          <w:bCs/>
          <w:color w:val="4C5A4D"/>
          <w:sz w:val="24"/>
          <w:szCs w:val="24"/>
        </w:rPr>
        <w:t xml:space="preserve">Adapting for class size</w:t>
      </w:r>
    </w:p>
    <w:p>
      <w:pPr>
        <w:spacing w:after="140"/>
      </w:pPr>
      <w:r>
        <w:rPr>
          <w:color w:val="232323"/>
          <w:sz w:val="22"/>
          <w:szCs w:val="22"/>
        </w:rPr>
        <w:t xml:space="preserve">Very small classes (fewer than six small groups) should double up competencies rather than skip any — better to have two tables independently define Curiosity than to drop it from the activity.</w:t>
      </w:r>
    </w:p>
    <w:p>
      <w:pPr>
        <w:spacing w:after="80" w:before="220"/>
      </w:pPr>
      <w:r>
        <w:rPr>
          <w:b/>
          <w:bCs/>
          <w:color w:val="4C5A4D"/>
          <w:sz w:val="24"/>
          <w:szCs w:val="24"/>
        </w:rPr>
        <w:t xml:space="preserve">If you have more than 20 minutes</w:t>
      </w:r>
    </w:p>
    <w:p>
      <w:pPr>
        <w:spacing w:after="140"/>
      </w:pPr>
      <w:r>
        <w:rPr>
          <w:color w:val="232323"/>
          <w:sz w:val="22"/>
          <w:szCs w:val="22"/>
        </w:rPr>
        <w:t xml:space="preserve">The extra time is best spent letting more tables report out live in Minute 13–15, rather than adding a second rotation — a second swap adds complexity without adding much insight at this pace.</w:t>
      </w:r>
    </w:p>
    <w:p>
      <w:pPr>
        <w:spacing w:after="80" w:before="220"/>
      </w:pPr>
      <w:r>
        <w:rPr>
          <w:b/>
          <w:bCs/>
          <w:color w:val="4C5A4D"/>
          <w:sz w:val="24"/>
          <w:szCs w:val="24"/>
        </w:rPr>
        <w:t xml:space="preserve">Sending us your results</w:t>
      </w:r>
    </w:p>
    <w:p>
      <w:pPr>
        <w:spacing w:after="140"/>
      </w:pPr>
      <w:r>
        <w:rPr>
          <w:color w:val="232323"/>
          <w:sz w:val="22"/>
          <w:szCs w:val="22"/>
        </w:rPr>
        <w:t xml:space="preserve">Beyond the Discussion page posts, feel free to send a summary of what your class produced to curriculum@scad.edu — especially useful if you want to flag one competency where your students landed on something unexpected.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2026-08-03T17:18:57.949Z</dcterms:created>
  <dcterms:modified xsi:type="dcterms:W3CDTF">2026-08-03T17:18:57.956Z</dcterms:modified>
</cp:coreProperties>
</file>

<file path=docProps/custom.xml><?xml version="1.0" encoding="utf-8"?>
<Properties xmlns="http://schemas.openxmlformats.org/officeDocument/2006/custom-properties" xmlns:vt="http://schemas.openxmlformats.org/officeDocument/2006/docPropsVTypes"/>
</file>